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F834" w14:textId="29115AEA" w:rsidR="00B32835" w:rsidRPr="00B32835" w:rsidRDefault="00B32835" w:rsidP="00B32835">
      <w:pPr>
        <w:spacing w:after="0" w:line="240" w:lineRule="auto"/>
        <w:contextualSpacing/>
        <w:outlineLvl w:val="0"/>
        <w:rPr>
          <w:rFonts w:eastAsiaTheme="majorEastAsia" w:cstheme="majorBidi"/>
          <w:spacing w:val="-10"/>
          <w:kern w:val="28"/>
          <w:sz w:val="56"/>
          <w:szCs w:val="56"/>
        </w:rPr>
      </w:pPr>
      <w:r w:rsidRPr="00B32835">
        <w:rPr>
          <w:rFonts w:eastAsiaTheme="majorEastAsia" w:cstheme="majorBidi"/>
          <w:spacing w:val="-10"/>
          <w:kern w:val="28"/>
          <w:sz w:val="56"/>
          <w:szCs w:val="56"/>
        </w:rPr>
        <w:t xml:space="preserve">Enkeltvedtak om å ta </w:t>
      </w:r>
      <w:r w:rsidR="00307751">
        <w:rPr>
          <w:rFonts w:eastAsiaTheme="majorEastAsia" w:cstheme="majorBidi"/>
          <w:spacing w:val="-10"/>
          <w:kern w:val="28"/>
          <w:sz w:val="56"/>
          <w:szCs w:val="56"/>
        </w:rPr>
        <w:t>matematikk 1T</w:t>
      </w:r>
      <w:r w:rsidRPr="00B32835">
        <w:rPr>
          <w:rFonts w:eastAsiaTheme="majorEastAsia" w:cstheme="majorBidi"/>
          <w:spacing w:val="-10"/>
          <w:kern w:val="28"/>
          <w:sz w:val="56"/>
          <w:szCs w:val="56"/>
        </w:rPr>
        <w:t xml:space="preserve"> fra videregående opplæring for</w:t>
      </w:r>
      <w:r w:rsidR="00307751">
        <w:rPr>
          <w:rFonts w:eastAsiaTheme="majorEastAsia" w:cstheme="majorBidi"/>
          <w:spacing w:val="-10"/>
          <w:kern w:val="28"/>
          <w:sz w:val="56"/>
          <w:szCs w:val="56"/>
        </w:rPr>
        <w:t xml:space="preserve"> [navn]</w:t>
      </w:r>
    </w:p>
    <w:p w14:paraId="08DABBC2" w14:textId="77777777" w:rsidR="00B32835" w:rsidRPr="00B32835" w:rsidRDefault="00B32835" w:rsidP="00B32835">
      <w:pPr>
        <w:rPr>
          <w:sz w:val="27"/>
        </w:rPr>
      </w:pPr>
    </w:p>
    <w:p w14:paraId="4A61C549" w14:textId="406633D8" w:rsidR="00B32835" w:rsidRPr="00B32835" w:rsidRDefault="00B32835" w:rsidP="00B32835">
      <w:pPr>
        <w:rPr>
          <w:sz w:val="27"/>
          <w:szCs w:val="27"/>
        </w:rPr>
      </w:pPr>
      <w:r w:rsidRPr="00B32835">
        <w:rPr>
          <w:sz w:val="27"/>
          <w:szCs w:val="27"/>
        </w:rPr>
        <w:t xml:space="preserve">Vi viser til interessen for å følge matematikk 1T i videregående opplæring via tilbudet på </w:t>
      </w:r>
      <w:r w:rsidR="00D50DAC">
        <w:rPr>
          <w:sz w:val="27"/>
          <w:szCs w:val="27"/>
        </w:rPr>
        <w:t>d</w:t>
      </w:r>
      <w:r w:rsidRPr="00B32835">
        <w:rPr>
          <w:sz w:val="27"/>
          <w:szCs w:val="27"/>
        </w:rPr>
        <w:t xml:space="preserve">igilær.no. </w:t>
      </w:r>
    </w:p>
    <w:p w14:paraId="23DA6A1F" w14:textId="77777777" w:rsidR="00B32835" w:rsidRPr="00B32835" w:rsidRDefault="00B32835" w:rsidP="00B32835">
      <w:pPr>
        <w:spacing w:before="100" w:beforeAutospacing="1" w:after="100" w:afterAutospacing="1" w:line="240" w:lineRule="auto"/>
        <w:outlineLvl w:val="1"/>
        <w:rPr>
          <w:rFonts w:eastAsia="Times New Roman" w:cs="Times New Roman"/>
          <w:b/>
          <w:bCs/>
          <w:color w:val="000000" w:themeColor="text1"/>
          <w:sz w:val="27"/>
          <w:szCs w:val="27"/>
          <w:lang w:eastAsia="nb-NO"/>
        </w:rPr>
      </w:pPr>
      <w:r w:rsidRPr="00B32835">
        <w:rPr>
          <w:rFonts w:eastAsia="Times New Roman" w:cs="Times New Roman"/>
          <w:b/>
          <w:bCs/>
          <w:color w:val="000000" w:themeColor="text1"/>
          <w:sz w:val="27"/>
          <w:szCs w:val="27"/>
          <w:lang w:eastAsia="nb-NO"/>
        </w:rPr>
        <w:t>Vedtak</w:t>
      </w:r>
    </w:p>
    <w:p w14:paraId="0D25F09F" w14:textId="77777777" w:rsidR="00B32835" w:rsidRPr="00B32835" w:rsidRDefault="00B32835" w:rsidP="00B32835">
      <w:pPr>
        <w:rPr>
          <w:sz w:val="27"/>
          <w:szCs w:val="27"/>
        </w:rPr>
      </w:pPr>
      <w:r w:rsidRPr="36C83B2B">
        <w:rPr>
          <w:sz w:val="27"/>
          <w:szCs w:val="27"/>
        </w:rPr>
        <w:t>&lt;Elevens navn&gt;, fødselsnummer: &lt;</w:t>
      </w:r>
      <w:proofErr w:type="spellStart"/>
      <w:r w:rsidRPr="36C83B2B">
        <w:rPr>
          <w:sz w:val="27"/>
          <w:szCs w:val="27"/>
        </w:rPr>
        <w:t>xxxx</w:t>
      </w:r>
      <w:proofErr w:type="spellEnd"/>
      <w:r w:rsidRPr="36C83B2B">
        <w:rPr>
          <w:sz w:val="27"/>
          <w:szCs w:val="27"/>
        </w:rPr>
        <w:t>&gt; får skoleåret [xx/xx] tilbud om matematikk 1T fra videregående opplæring gjennom tilbudet digilær.no. Eleven vil få elevstatus ved en videregående skole.</w:t>
      </w:r>
    </w:p>
    <w:p w14:paraId="038CB093" w14:textId="70FB010E" w:rsidR="00B32835" w:rsidRPr="00B32835" w:rsidRDefault="00B32835" w:rsidP="00B32835">
      <w:pPr>
        <w:rPr>
          <w:sz w:val="27"/>
          <w:szCs w:val="27"/>
        </w:rPr>
      </w:pPr>
      <w:r w:rsidRPr="00B32835">
        <w:rPr>
          <w:sz w:val="27"/>
          <w:szCs w:val="27"/>
        </w:rPr>
        <w:t>Eleven kan ta i bruk timene til valgfag og inntil 60</w:t>
      </w:r>
      <w:r w:rsidR="00471DC9">
        <w:rPr>
          <w:sz w:val="27"/>
          <w:szCs w:val="27"/>
        </w:rPr>
        <w:t xml:space="preserve"> prosent</w:t>
      </w:r>
      <w:r w:rsidRPr="00B32835">
        <w:rPr>
          <w:sz w:val="27"/>
          <w:szCs w:val="27"/>
        </w:rPr>
        <w:t xml:space="preserve"> av timene i faget utdanningsvalg til denne opplæringen. </w:t>
      </w:r>
    </w:p>
    <w:p w14:paraId="475E9C58" w14:textId="7506ECC9" w:rsidR="00B32835" w:rsidRDefault="00B32835" w:rsidP="00B32835">
      <w:pPr>
        <w:rPr>
          <w:sz w:val="27"/>
          <w:szCs w:val="27"/>
        </w:rPr>
      </w:pPr>
      <w:r w:rsidRPr="3FECE30B">
        <w:rPr>
          <w:sz w:val="27"/>
          <w:szCs w:val="27"/>
        </w:rPr>
        <w:t xml:space="preserve">I samråd med faglærer i matematikk kan </w:t>
      </w:r>
      <w:r w:rsidR="007E6AAB">
        <w:rPr>
          <w:sz w:val="27"/>
          <w:szCs w:val="27"/>
        </w:rPr>
        <w:t xml:space="preserve">deler av </w:t>
      </w:r>
      <w:r w:rsidRPr="3FECE30B">
        <w:rPr>
          <w:sz w:val="27"/>
          <w:szCs w:val="27"/>
        </w:rPr>
        <w:t xml:space="preserve">den ordinære matematikkundervisningen brukes til </w:t>
      </w:r>
      <w:r w:rsidR="007E6AAB">
        <w:rPr>
          <w:sz w:val="27"/>
          <w:szCs w:val="27"/>
        </w:rPr>
        <w:t xml:space="preserve">opplæring </w:t>
      </w:r>
      <w:r w:rsidRPr="3FECE30B">
        <w:rPr>
          <w:sz w:val="27"/>
          <w:szCs w:val="27"/>
        </w:rPr>
        <w:t>i matematikk 1T, så lenge det ikke er til hinder for at eleven kan få standpunktvurdering i matematikk for 10. trinn, i tråd med kompetansemålene i faget.</w:t>
      </w:r>
    </w:p>
    <w:p w14:paraId="72587336" w14:textId="69BF0C74" w:rsidR="007E6AAB" w:rsidRPr="00B32835" w:rsidRDefault="007E6AAB" w:rsidP="00B32835">
      <w:pPr>
        <w:rPr>
          <w:sz w:val="27"/>
          <w:szCs w:val="27"/>
        </w:rPr>
      </w:pPr>
      <w:r>
        <w:rPr>
          <w:sz w:val="27"/>
          <w:szCs w:val="27"/>
        </w:rPr>
        <w:t>Oppl</w:t>
      </w:r>
      <w:r w:rsidR="009C400A">
        <w:rPr>
          <w:sz w:val="27"/>
          <w:szCs w:val="27"/>
        </w:rPr>
        <w:t>æringen gis som fjernundervisning.</w:t>
      </w:r>
    </w:p>
    <w:p w14:paraId="7A781E39" w14:textId="77777777" w:rsidR="0066269C" w:rsidRDefault="00B32835" w:rsidP="0066269C">
      <w:pPr>
        <w:spacing w:before="100" w:beforeAutospacing="1" w:after="100" w:afterAutospacing="1" w:line="240" w:lineRule="auto"/>
        <w:outlineLvl w:val="1"/>
      </w:pPr>
      <w:r w:rsidRPr="67A146B5">
        <w:rPr>
          <w:rFonts w:eastAsia="Times New Roman" w:cs="Times New Roman"/>
          <w:b/>
          <w:bCs/>
          <w:color w:val="000000" w:themeColor="text1"/>
          <w:sz w:val="27"/>
          <w:szCs w:val="27"/>
          <w:lang w:eastAsia="nb-NO"/>
        </w:rPr>
        <w:t>Rettslig grunnlag</w:t>
      </w:r>
      <w:r>
        <w:br/>
      </w:r>
      <w:r w:rsidRPr="67A146B5">
        <w:rPr>
          <w:rFonts w:eastAsia="Times New Roman" w:cs="Times New Roman"/>
          <w:color w:val="000000" w:themeColor="text1"/>
          <w:sz w:val="27"/>
          <w:szCs w:val="27"/>
          <w:lang w:eastAsia="nb-NO"/>
        </w:rPr>
        <w:t>Kommunen skal sørge for at opplæringen er tilpasset, det vil si at elevene får et tilfredsstillende utbytte av opplæringen uavhengig av forutsetninger, og at alle skal få utnyttet og utviklet evnene sine. Dette følger av opplæringsloven § 11-1.</w:t>
      </w:r>
    </w:p>
    <w:p w14:paraId="14D395C0" w14:textId="13278392" w:rsidR="00B32835" w:rsidRDefault="00B32835" w:rsidP="0066269C">
      <w:pPr>
        <w:spacing w:before="100" w:beforeAutospacing="1" w:after="100" w:afterAutospacing="1" w:line="240" w:lineRule="auto"/>
        <w:outlineLvl w:val="1"/>
        <w:rPr>
          <w:sz w:val="27"/>
        </w:rPr>
      </w:pPr>
      <w:r w:rsidRPr="00B32835">
        <w:rPr>
          <w:sz w:val="27"/>
        </w:rPr>
        <w:t>Kommunen kan innvilge forsering av fag på 8. til 10. trinn for elever som har tilstrekkelig kompetanse, slik at de får opplæring i fellesfag eller programfag på videregående nivå. Elevene kan ta i bruk timene til valgfag og opptil 60 prosent av timene i faget utdanningsvalg til denne opplæringen. Dette følger av opplæringsforskriften § 1-12.</w:t>
      </w:r>
    </w:p>
    <w:p w14:paraId="35CCBF74" w14:textId="09BC8C3A" w:rsidR="002B35CD" w:rsidRPr="0066269C" w:rsidRDefault="002B35CD" w:rsidP="0066269C">
      <w:pPr>
        <w:spacing w:before="100" w:beforeAutospacing="1" w:after="100" w:afterAutospacing="1" w:line="240" w:lineRule="auto"/>
        <w:outlineLvl w:val="1"/>
        <w:rPr>
          <w:rFonts w:eastAsia="Times New Roman" w:cs="Times New Roman"/>
          <w:b/>
          <w:bCs/>
          <w:color w:val="000000" w:themeColor="text1"/>
          <w:sz w:val="27"/>
          <w:szCs w:val="27"/>
          <w:lang w:eastAsia="nb-NO"/>
        </w:rPr>
      </w:pPr>
      <w:r>
        <w:rPr>
          <w:sz w:val="27"/>
        </w:rPr>
        <w:t>Når det er gode grunner for det</w:t>
      </w:r>
      <w:r w:rsidR="00634A3B">
        <w:rPr>
          <w:sz w:val="27"/>
        </w:rPr>
        <w:t>,</w:t>
      </w:r>
      <w:r w:rsidR="00A5579E">
        <w:rPr>
          <w:sz w:val="27"/>
        </w:rPr>
        <w:t xml:space="preserve"> og det er t</w:t>
      </w:r>
      <w:r>
        <w:rPr>
          <w:sz w:val="27"/>
        </w:rPr>
        <w:t xml:space="preserve">rygt og pedagogisk forsvarlig, kan deler av opplæringen gjennomføres som </w:t>
      </w:r>
      <w:r w:rsidR="00A5579E">
        <w:rPr>
          <w:sz w:val="27"/>
        </w:rPr>
        <w:t>fjernundervisning. Dette følger av opplæringsloven § 14-4.</w:t>
      </w:r>
    </w:p>
    <w:p w14:paraId="142492A9" w14:textId="721C0ABC" w:rsidR="00B32835" w:rsidRPr="00B32835" w:rsidRDefault="00B32835" w:rsidP="00B32835">
      <w:pPr>
        <w:rPr>
          <w:color w:val="000000" w:themeColor="text1"/>
          <w:sz w:val="27"/>
        </w:rPr>
      </w:pPr>
      <w:r w:rsidRPr="00B32835">
        <w:rPr>
          <w:color w:val="000000" w:themeColor="text1"/>
          <w:sz w:val="27"/>
        </w:rPr>
        <w:t>Eleven har rett til å medvirke og bli hørt, og hva som er elevens beste</w:t>
      </w:r>
      <w:r w:rsidR="00195C12">
        <w:rPr>
          <w:color w:val="000000" w:themeColor="text1"/>
          <w:sz w:val="27"/>
        </w:rPr>
        <w:t>,</w:t>
      </w:r>
      <w:r w:rsidRPr="00B32835">
        <w:rPr>
          <w:color w:val="000000" w:themeColor="text1"/>
          <w:sz w:val="27"/>
        </w:rPr>
        <w:t xml:space="preserve"> skal være et grunnleggende hensyn. Dette følger av Grunnloven § 104, barnekonvensjonen artikkel 3 og 12, og opplæringsloven §§ 10-1 og 10-2.</w:t>
      </w:r>
    </w:p>
    <w:p w14:paraId="5A1B21CE" w14:textId="14AECD5A" w:rsidR="00B32835" w:rsidRPr="00B32835" w:rsidRDefault="00B32835" w:rsidP="36C83B2B">
      <w:pPr>
        <w:spacing w:before="100" w:beforeAutospacing="1" w:after="100" w:afterAutospacing="1" w:line="240" w:lineRule="auto"/>
        <w:outlineLvl w:val="1"/>
        <w:rPr>
          <w:rFonts w:eastAsia="Times New Roman" w:cs="Times New Roman"/>
          <w:b/>
          <w:bCs/>
          <w:color w:val="000000" w:themeColor="text1"/>
          <w:sz w:val="27"/>
          <w:szCs w:val="27"/>
          <w:lang w:eastAsia="nb-NO"/>
        </w:rPr>
      </w:pPr>
      <w:r w:rsidRPr="36C83B2B">
        <w:rPr>
          <w:rFonts w:eastAsia="Times New Roman" w:cs="Times New Roman"/>
          <w:b/>
          <w:bCs/>
          <w:color w:val="000000" w:themeColor="text1"/>
          <w:sz w:val="27"/>
          <w:szCs w:val="27"/>
          <w:lang w:eastAsia="nb-NO"/>
        </w:rPr>
        <w:lastRenderedPageBreak/>
        <w:t>Vurdering</w:t>
      </w:r>
      <w:r>
        <w:br/>
      </w:r>
      <w:r w:rsidRPr="36C83B2B">
        <w:rPr>
          <w:rFonts w:eastAsia="Times New Roman" w:cs="Times New Roman"/>
          <w:i/>
          <w:iCs/>
          <w:color w:val="000000" w:themeColor="text1"/>
          <w:sz w:val="27"/>
          <w:szCs w:val="27"/>
          <w:lang w:eastAsia="nb-NO"/>
        </w:rPr>
        <w:t xml:space="preserve">[Du må begrunne hvorfor eleven får tilbud om å ta matematikk 1T fra videregående opplæring. Det kan vises til at eleven har vist stor interesse og mye kompetanse i matematikkfaget, og at eleven vil få utbytte av et slikt tilbud. Det må også komme frem at skolen har vurdert </w:t>
      </w:r>
      <w:r w:rsidR="00281D64">
        <w:rPr>
          <w:rFonts w:eastAsia="Times New Roman" w:cs="Times New Roman"/>
          <w:i/>
          <w:iCs/>
          <w:color w:val="000000" w:themeColor="text1"/>
          <w:sz w:val="27"/>
          <w:szCs w:val="27"/>
          <w:lang w:eastAsia="nb-NO"/>
        </w:rPr>
        <w:t xml:space="preserve">det slik </w:t>
      </w:r>
      <w:r w:rsidRPr="36C83B2B">
        <w:rPr>
          <w:rFonts w:eastAsia="Times New Roman" w:cs="Times New Roman"/>
          <w:i/>
          <w:iCs/>
          <w:color w:val="000000" w:themeColor="text1"/>
          <w:sz w:val="27"/>
          <w:szCs w:val="27"/>
          <w:lang w:eastAsia="nb-NO"/>
        </w:rPr>
        <w:t xml:space="preserve">at elevens kompetanse er tilstrekkelig til å ta matematikk 1T fra videregående opplæring. </w:t>
      </w:r>
    </w:p>
    <w:p w14:paraId="5DECAF74" w14:textId="77777777" w:rsidR="00B32835" w:rsidRPr="00B32835" w:rsidRDefault="00B32835" w:rsidP="36C83B2B">
      <w:pPr>
        <w:rPr>
          <w:i/>
          <w:iCs/>
          <w:sz w:val="27"/>
          <w:szCs w:val="27"/>
        </w:rPr>
      </w:pPr>
      <w:r w:rsidRPr="36C83B2B">
        <w:rPr>
          <w:i/>
          <w:iCs/>
          <w:sz w:val="27"/>
          <w:szCs w:val="27"/>
        </w:rPr>
        <w:t>Du må også vise til hvordan elevens beste, herunder elevens syn, er vurdert og vektlagt.]</w:t>
      </w:r>
    </w:p>
    <w:p w14:paraId="5C13EA41" w14:textId="43AAAF03" w:rsidR="00B32835" w:rsidRPr="00B32835" w:rsidRDefault="00B32835" w:rsidP="36C83B2B">
      <w:pPr>
        <w:rPr>
          <w:sz w:val="27"/>
          <w:szCs w:val="27"/>
        </w:rPr>
      </w:pPr>
      <w:r w:rsidRPr="36C83B2B">
        <w:rPr>
          <w:sz w:val="27"/>
          <w:szCs w:val="27"/>
        </w:rPr>
        <w:t xml:space="preserve">På bakgrunn av denne vurderingen vil skolen tilby </w:t>
      </w:r>
      <w:r w:rsidR="00C37B34">
        <w:rPr>
          <w:sz w:val="27"/>
          <w:szCs w:val="27"/>
        </w:rPr>
        <w:t>eleven</w:t>
      </w:r>
      <w:r w:rsidRPr="36C83B2B">
        <w:rPr>
          <w:sz w:val="27"/>
          <w:szCs w:val="27"/>
        </w:rPr>
        <w:t xml:space="preserve"> å følge matematikk 1T fra videregående opplæring via digilær.no. </w:t>
      </w:r>
    </w:p>
    <w:p w14:paraId="030E95C9" w14:textId="77777777" w:rsidR="00B32835" w:rsidRPr="00B32835" w:rsidRDefault="00B32835" w:rsidP="00B32835">
      <w:pPr>
        <w:spacing w:before="100" w:beforeAutospacing="1" w:after="100" w:afterAutospacing="1" w:line="240" w:lineRule="auto"/>
        <w:outlineLvl w:val="1"/>
        <w:rPr>
          <w:rFonts w:eastAsia="Times New Roman" w:cs="Times New Roman"/>
          <w:b/>
          <w:bCs/>
          <w:color w:val="000000" w:themeColor="text1"/>
          <w:sz w:val="27"/>
          <w:szCs w:val="27"/>
          <w:lang w:eastAsia="nb-NO"/>
        </w:rPr>
      </w:pPr>
      <w:r w:rsidRPr="00B32835">
        <w:rPr>
          <w:rFonts w:eastAsia="Times New Roman" w:cs="Times New Roman"/>
          <w:b/>
          <w:bCs/>
          <w:color w:val="000000" w:themeColor="text1"/>
          <w:sz w:val="27"/>
          <w:szCs w:val="27"/>
          <w:lang w:eastAsia="nb-NO"/>
        </w:rPr>
        <w:t>Klage</w:t>
      </w:r>
    </w:p>
    <w:p w14:paraId="6194EF26" w14:textId="77777777" w:rsidR="00B32835" w:rsidRPr="00B32835" w:rsidRDefault="00B32835" w:rsidP="00B32835">
      <w:pPr>
        <w:rPr>
          <w:b/>
          <w:bCs/>
          <w:sz w:val="27"/>
        </w:rPr>
      </w:pPr>
      <w:r w:rsidRPr="00B32835">
        <w:rPr>
          <w:sz w:val="27"/>
        </w:rPr>
        <w:t xml:space="preserve">Du kan klage på dette vedtaket. Hvis du vil klage, er fristen tre uker fra du har mottatt vedtaket. Det står i forvaltningsloven § 29. </w:t>
      </w:r>
    </w:p>
    <w:p w14:paraId="29A76850" w14:textId="77777777" w:rsidR="00B32835" w:rsidRPr="00B32835" w:rsidRDefault="00B32835" w:rsidP="00B32835">
      <w:pPr>
        <w:rPr>
          <w:sz w:val="27"/>
        </w:rPr>
      </w:pPr>
      <w:r w:rsidRPr="00B32835">
        <w:rPr>
          <w:sz w:val="27"/>
        </w:rPr>
        <w:t>Klagen må nevne hvilken endring du ønsker, og bør være skriftlig. Du bør også begrunne klagen. Du sender klagen til skolen ved rektor. Dersom skolen ikke omgjør vedtaket, vil saken bli sendt til [</w:t>
      </w:r>
      <w:proofErr w:type="spellStart"/>
      <w:r w:rsidRPr="00B32835">
        <w:rPr>
          <w:i/>
          <w:iCs/>
          <w:sz w:val="27"/>
        </w:rPr>
        <w:t>statsforvalteren</w:t>
      </w:r>
      <w:proofErr w:type="spellEnd"/>
      <w:r w:rsidRPr="00B32835">
        <w:rPr>
          <w:sz w:val="27"/>
        </w:rPr>
        <w:t>], som er endelig klageinstans.</w:t>
      </w:r>
    </w:p>
    <w:p w14:paraId="165997F0" w14:textId="77777777" w:rsidR="00B32835" w:rsidRPr="00B32835" w:rsidRDefault="00B32835" w:rsidP="00B32835">
      <w:pPr>
        <w:rPr>
          <w:sz w:val="27"/>
        </w:rPr>
      </w:pPr>
      <w:r w:rsidRPr="00B32835">
        <w:rPr>
          <w:sz w:val="27"/>
        </w:rPr>
        <w:t>Du har, med noen unntak, rett til å se dokumentene i saken. Dersom du allerede har fått alle dokumentene i saken, skal skolen opplyse om det. Dette står i forvaltningsloven §§ 18 og 19.</w:t>
      </w:r>
    </w:p>
    <w:p w14:paraId="0626819F" w14:textId="77777777" w:rsidR="00B32835" w:rsidRPr="00B32835" w:rsidRDefault="00B32835" w:rsidP="00B32835">
      <w:pPr>
        <w:rPr>
          <w:rFonts w:ascii="Verdana" w:hAnsi="Verdana"/>
          <w:sz w:val="27"/>
        </w:rPr>
      </w:pPr>
    </w:p>
    <w:tbl>
      <w:tblPr>
        <w:tblW w:w="0" w:type="auto"/>
        <w:tblLook w:val="01E0" w:firstRow="1" w:lastRow="1" w:firstColumn="1" w:lastColumn="1" w:noHBand="0" w:noVBand="0"/>
      </w:tblPr>
      <w:tblGrid>
        <w:gridCol w:w="5675"/>
        <w:gridCol w:w="1515"/>
      </w:tblGrid>
      <w:tr w:rsidR="00B32835" w:rsidRPr="00B32835" w14:paraId="63BDAB41" w14:textId="77777777" w:rsidTr="002874B2">
        <w:trPr>
          <w:gridAfter w:val="1"/>
          <w:wAfter w:w="1515" w:type="dxa"/>
        </w:trPr>
        <w:tc>
          <w:tcPr>
            <w:tcW w:w="5675" w:type="dxa"/>
          </w:tcPr>
          <w:p w14:paraId="0E47636B" w14:textId="77777777" w:rsidR="00B32835" w:rsidRPr="00B32835" w:rsidRDefault="00B32835" w:rsidP="00B32835">
            <w:pPr>
              <w:rPr>
                <w:color w:val="000000" w:themeColor="text1"/>
                <w:sz w:val="27"/>
              </w:rPr>
            </w:pPr>
            <w:r w:rsidRPr="00B32835">
              <w:rPr>
                <w:color w:val="000000" w:themeColor="text1"/>
                <w:sz w:val="27"/>
              </w:rPr>
              <w:t xml:space="preserve">Med hilsen </w:t>
            </w:r>
          </w:p>
        </w:tc>
      </w:tr>
      <w:tr w:rsidR="00B32835" w:rsidRPr="00B32835" w14:paraId="39E16690" w14:textId="77777777" w:rsidTr="002874B2">
        <w:trPr>
          <w:gridAfter w:val="1"/>
          <w:wAfter w:w="1515" w:type="dxa"/>
        </w:trPr>
        <w:tc>
          <w:tcPr>
            <w:tcW w:w="5675" w:type="dxa"/>
          </w:tcPr>
          <w:p w14:paraId="7E5FBCF8" w14:textId="77777777" w:rsidR="00B32835" w:rsidRPr="00B32835" w:rsidRDefault="00B32835" w:rsidP="00B32835">
            <w:pPr>
              <w:rPr>
                <w:sz w:val="27"/>
              </w:rPr>
            </w:pPr>
          </w:p>
        </w:tc>
      </w:tr>
      <w:tr w:rsidR="00B32835" w:rsidRPr="00B32835" w14:paraId="05248D62" w14:textId="77777777" w:rsidTr="002874B2">
        <w:trPr>
          <w:gridAfter w:val="1"/>
          <w:wAfter w:w="1515" w:type="dxa"/>
        </w:trPr>
        <w:tc>
          <w:tcPr>
            <w:tcW w:w="5675" w:type="dxa"/>
          </w:tcPr>
          <w:p w14:paraId="17286E84" w14:textId="77777777" w:rsidR="00B32835" w:rsidRPr="00B32835" w:rsidRDefault="00B32835" w:rsidP="00B32835">
            <w:pPr>
              <w:rPr>
                <w:sz w:val="27"/>
              </w:rPr>
            </w:pPr>
          </w:p>
        </w:tc>
      </w:tr>
      <w:tr w:rsidR="00B32835" w:rsidRPr="00B32835" w14:paraId="3ADA1B76" w14:textId="77777777" w:rsidTr="002874B2">
        <w:trPr>
          <w:gridAfter w:val="1"/>
          <w:wAfter w:w="1515" w:type="dxa"/>
        </w:trPr>
        <w:tc>
          <w:tcPr>
            <w:tcW w:w="5675" w:type="dxa"/>
          </w:tcPr>
          <w:p w14:paraId="66508A64" w14:textId="77777777" w:rsidR="00B32835" w:rsidRPr="00B32835" w:rsidRDefault="00B32835" w:rsidP="00B32835">
            <w:pPr>
              <w:rPr>
                <w:rFonts w:ascii="Verdana" w:hAnsi="Verdana"/>
                <w:sz w:val="27"/>
              </w:rPr>
            </w:pPr>
            <w:r w:rsidRPr="00B32835">
              <w:rPr>
                <w:sz w:val="27"/>
              </w:rPr>
              <w:t>Kopi:</w:t>
            </w:r>
          </w:p>
        </w:tc>
      </w:tr>
      <w:tr w:rsidR="00B32835" w:rsidRPr="00B32835" w14:paraId="59D1F823" w14:textId="77777777" w:rsidTr="002874B2">
        <w:tblPrEx>
          <w:tblCellMar>
            <w:left w:w="70" w:type="dxa"/>
            <w:right w:w="70" w:type="dxa"/>
          </w:tblCellMar>
          <w:tblLook w:val="0000" w:firstRow="0" w:lastRow="0" w:firstColumn="0" w:lastColumn="0" w:noHBand="0" w:noVBand="0"/>
        </w:tblPrEx>
        <w:tc>
          <w:tcPr>
            <w:tcW w:w="7190" w:type="dxa"/>
            <w:gridSpan w:val="2"/>
            <w:shd w:val="clear" w:color="auto" w:fill="auto"/>
          </w:tcPr>
          <w:p w14:paraId="5C5C3E61" w14:textId="77777777" w:rsidR="00B32835" w:rsidRPr="00B32835" w:rsidRDefault="00B32835" w:rsidP="00B32835">
            <w:pPr>
              <w:rPr>
                <w:rFonts w:ascii="Verdana" w:hAnsi="Verdana"/>
                <w:sz w:val="27"/>
              </w:rPr>
            </w:pPr>
          </w:p>
        </w:tc>
      </w:tr>
    </w:tbl>
    <w:p w14:paraId="67293BF1" w14:textId="77777777" w:rsidR="00B32835" w:rsidRPr="00B32835" w:rsidRDefault="00B32835" w:rsidP="00B32835">
      <w:pPr>
        <w:rPr>
          <w:sz w:val="27"/>
        </w:rPr>
      </w:pPr>
    </w:p>
    <w:p w14:paraId="33ED759A" w14:textId="77777777" w:rsidR="00B32835" w:rsidRPr="00B32835" w:rsidRDefault="00B32835" w:rsidP="00B32835">
      <w:pPr>
        <w:rPr>
          <w:sz w:val="27"/>
        </w:rPr>
      </w:pPr>
    </w:p>
    <w:p w14:paraId="22B54B58" w14:textId="77777777" w:rsidR="00A25B23" w:rsidRDefault="00A25B23"/>
    <w:sectPr w:rsidR="00A25B23" w:rsidSect="00B3283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C6293" w14:textId="77777777" w:rsidR="00545341" w:rsidRDefault="00545341">
      <w:pPr>
        <w:spacing w:after="0" w:line="240" w:lineRule="auto"/>
      </w:pPr>
      <w:r>
        <w:separator/>
      </w:r>
    </w:p>
  </w:endnote>
  <w:endnote w:type="continuationSeparator" w:id="0">
    <w:p w14:paraId="48B25D3F" w14:textId="77777777" w:rsidR="00545341" w:rsidRDefault="0054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C5832CB" w14:paraId="45BF9CC3" w14:textId="77777777" w:rsidTr="6C5832CB">
      <w:trPr>
        <w:trHeight w:val="300"/>
      </w:trPr>
      <w:tc>
        <w:tcPr>
          <w:tcW w:w="3020" w:type="dxa"/>
        </w:tcPr>
        <w:p w14:paraId="0F90A72F" w14:textId="5E8F4229" w:rsidR="6C5832CB" w:rsidRDefault="6C5832CB" w:rsidP="6C5832CB">
          <w:pPr>
            <w:pStyle w:val="Topptekst"/>
            <w:ind w:left="-115"/>
          </w:pPr>
        </w:p>
      </w:tc>
      <w:tc>
        <w:tcPr>
          <w:tcW w:w="3020" w:type="dxa"/>
        </w:tcPr>
        <w:p w14:paraId="3E38CD3C" w14:textId="6D450E5C" w:rsidR="6C5832CB" w:rsidRDefault="6C5832CB" w:rsidP="6C5832CB">
          <w:pPr>
            <w:pStyle w:val="Topptekst"/>
            <w:jc w:val="center"/>
          </w:pPr>
        </w:p>
      </w:tc>
      <w:tc>
        <w:tcPr>
          <w:tcW w:w="3020" w:type="dxa"/>
        </w:tcPr>
        <w:p w14:paraId="50A69A61" w14:textId="29EAC5E8" w:rsidR="6C5832CB" w:rsidRDefault="6C5832CB" w:rsidP="6C5832CB">
          <w:pPr>
            <w:pStyle w:val="Topptekst"/>
            <w:ind w:right="-115"/>
            <w:jc w:val="right"/>
          </w:pPr>
        </w:p>
      </w:tc>
    </w:tr>
  </w:tbl>
  <w:p w14:paraId="5EECDB94" w14:textId="489B1556" w:rsidR="6C5832CB" w:rsidRDefault="6C5832CB" w:rsidP="6C5832C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F5ED8" w14:textId="77777777" w:rsidR="00545341" w:rsidRDefault="00545341">
      <w:pPr>
        <w:spacing w:after="0" w:line="240" w:lineRule="auto"/>
      </w:pPr>
      <w:r>
        <w:separator/>
      </w:r>
    </w:p>
  </w:footnote>
  <w:footnote w:type="continuationSeparator" w:id="0">
    <w:p w14:paraId="402AD274" w14:textId="77777777" w:rsidR="00545341" w:rsidRDefault="0054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F4B8" w14:textId="247D56E9" w:rsidR="00B32835" w:rsidRPr="00022D66" w:rsidRDefault="0046336B" w:rsidP="00022D66">
    <w:pPr>
      <w:pStyle w:val="Topptekst"/>
      <w:jc w:val="right"/>
      <w:rPr>
        <w:i/>
        <w:iCs/>
        <w:sz w:val="18"/>
        <w:szCs w:val="18"/>
      </w:rPr>
    </w:pPr>
    <w:r w:rsidRPr="0046336B">
      <w:rPr>
        <w:i/>
        <w:iCs/>
        <w:sz w:val="18"/>
        <w:szCs w:val="18"/>
      </w:rPr>
      <w:t xml:space="preserve">Unntatt offentlighet, jf. </w:t>
    </w:r>
    <w:proofErr w:type="spellStart"/>
    <w:r w:rsidRPr="0046336B">
      <w:rPr>
        <w:i/>
        <w:iCs/>
        <w:sz w:val="18"/>
        <w:szCs w:val="18"/>
      </w:rPr>
      <w:t>offl</w:t>
    </w:r>
    <w:proofErr w:type="spellEnd"/>
    <w:r w:rsidRPr="0046336B">
      <w:rPr>
        <w:i/>
        <w:iCs/>
        <w:sz w:val="18"/>
        <w:szCs w:val="18"/>
      </w:rPr>
      <w:t xml:space="preserve"> § 13 og fvl § 13.1.1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35"/>
    <w:rsid w:val="000155D0"/>
    <w:rsid w:val="00022D66"/>
    <w:rsid w:val="000C4BCF"/>
    <w:rsid w:val="00195C12"/>
    <w:rsid w:val="002429B7"/>
    <w:rsid w:val="00281D64"/>
    <w:rsid w:val="002B35CD"/>
    <w:rsid w:val="00307751"/>
    <w:rsid w:val="0046336B"/>
    <w:rsid w:val="00471DC9"/>
    <w:rsid w:val="00545341"/>
    <w:rsid w:val="00634A3B"/>
    <w:rsid w:val="0066269C"/>
    <w:rsid w:val="00702BC2"/>
    <w:rsid w:val="00712F43"/>
    <w:rsid w:val="007E6AAB"/>
    <w:rsid w:val="00863BA8"/>
    <w:rsid w:val="009061BA"/>
    <w:rsid w:val="009662FF"/>
    <w:rsid w:val="009C400A"/>
    <w:rsid w:val="009E7F30"/>
    <w:rsid w:val="00A25B23"/>
    <w:rsid w:val="00A5579E"/>
    <w:rsid w:val="00B32835"/>
    <w:rsid w:val="00C00C93"/>
    <w:rsid w:val="00C37B34"/>
    <w:rsid w:val="00D50DAC"/>
    <w:rsid w:val="00D61965"/>
    <w:rsid w:val="0AF31B4D"/>
    <w:rsid w:val="2110B86A"/>
    <w:rsid w:val="36C83B2B"/>
    <w:rsid w:val="3FECE30B"/>
    <w:rsid w:val="47CB3B48"/>
    <w:rsid w:val="67A146B5"/>
    <w:rsid w:val="6C5832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69F6C"/>
  <w15:chartTrackingRefBased/>
  <w15:docId w15:val="{15AB5D4A-D986-4D7C-A3A6-454962B0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32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32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328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328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32835"/>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B328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32835"/>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B32835"/>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3283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3283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3283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32835"/>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32835"/>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32835"/>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B32835"/>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B32835"/>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B32835"/>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B32835"/>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B32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3283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3283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32835"/>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B3283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32835"/>
    <w:rPr>
      <w:i/>
      <w:iCs/>
      <w:color w:val="404040" w:themeColor="text1" w:themeTint="BF"/>
    </w:rPr>
  </w:style>
  <w:style w:type="paragraph" w:styleId="Listeavsnitt">
    <w:name w:val="List Paragraph"/>
    <w:basedOn w:val="Normal"/>
    <w:uiPriority w:val="34"/>
    <w:qFormat/>
    <w:rsid w:val="00B32835"/>
    <w:pPr>
      <w:ind w:left="720"/>
      <w:contextualSpacing/>
    </w:pPr>
  </w:style>
  <w:style w:type="character" w:styleId="Sterkutheving">
    <w:name w:val="Intense Emphasis"/>
    <w:basedOn w:val="Standardskriftforavsnitt"/>
    <w:uiPriority w:val="21"/>
    <w:qFormat/>
    <w:rsid w:val="00B32835"/>
    <w:rPr>
      <w:i/>
      <w:iCs/>
      <w:color w:val="0F4761" w:themeColor="accent1" w:themeShade="BF"/>
    </w:rPr>
  </w:style>
  <w:style w:type="paragraph" w:styleId="Sterktsitat">
    <w:name w:val="Intense Quote"/>
    <w:basedOn w:val="Normal"/>
    <w:next w:val="Normal"/>
    <w:link w:val="SterktsitatTegn"/>
    <w:uiPriority w:val="30"/>
    <w:qFormat/>
    <w:rsid w:val="00B32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32835"/>
    <w:rPr>
      <w:i/>
      <w:iCs/>
      <w:color w:val="0F4761" w:themeColor="accent1" w:themeShade="BF"/>
    </w:rPr>
  </w:style>
  <w:style w:type="character" w:styleId="Sterkreferanse">
    <w:name w:val="Intense Reference"/>
    <w:basedOn w:val="Standardskriftforavsnitt"/>
    <w:uiPriority w:val="32"/>
    <w:qFormat/>
    <w:rsid w:val="00B32835"/>
    <w:rPr>
      <w:b/>
      <w:bCs/>
      <w:smallCaps/>
      <w:color w:val="0F4761" w:themeColor="accent1" w:themeShade="BF"/>
      <w:spacing w:val="5"/>
    </w:rPr>
  </w:style>
  <w:style w:type="paragraph" w:styleId="Topptekst">
    <w:name w:val="header"/>
    <w:basedOn w:val="Normal"/>
    <w:link w:val="TopptekstTegn"/>
    <w:uiPriority w:val="99"/>
    <w:unhideWhenUsed/>
    <w:rsid w:val="00B32835"/>
    <w:pPr>
      <w:tabs>
        <w:tab w:val="center" w:pos="4536"/>
        <w:tab w:val="right" w:pos="9072"/>
      </w:tabs>
      <w:spacing w:after="0" w:line="240" w:lineRule="auto"/>
    </w:pPr>
    <w:rPr>
      <w:sz w:val="27"/>
    </w:rPr>
  </w:style>
  <w:style w:type="character" w:customStyle="1" w:styleId="TopptekstTegn">
    <w:name w:val="Topptekst Tegn"/>
    <w:basedOn w:val="Standardskriftforavsnitt"/>
    <w:link w:val="Topptekst"/>
    <w:uiPriority w:val="99"/>
    <w:rsid w:val="00B32835"/>
    <w:rPr>
      <w:sz w:val="27"/>
    </w:rPr>
  </w:style>
  <w:style w:type="character" w:styleId="Merknadsreferanse">
    <w:name w:val="annotation reference"/>
    <w:basedOn w:val="Standardskriftforavsnitt"/>
    <w:uiPriority w:val="99"/>
    <w:semiHidden/>
    <w:unhideWhenUsed/>
    <w:rsid w:val="00B32835"/>
    <w:rPr>
      <w:sz w:val="16"/>
      <w:szCs w:val="16"/>
    </w:rPr>
  </w:style>
  <w:style w:type="paragraph" w:styleId="Merknadstekst">
    <w:name w:val="annotation text"/>
    <w:basedOn w:val="Normal"/>
    <w:link w:val="MerknadstekstTegn"/>
    <w:uiPriority w:val="99"/>
    <w:unhideWhenUsed/>
    <w:rsid w:val="00B32835"/>
    <w:pPr>
      <w:spacing w:line="240" w:lineRule="auto"/>
    </w:pPr>
    <w:rPr>
      <w:sz w:val="20"/>
      <w:szCs w:val="20"/>
    </w:rPr>
  </w:style>
  <w:style w:type="character" w:customStyle="1" w:styleId="MerknadstekstTegn">
    <w:name w:val="Merknadstekst Tegn"/>
    <w:basedOn w:val="Standardskriftforavsnitt"/>
    <w:link w:val="Merknadstekst"/>
    <w:uiPriority w:val="99"/>
    <w:rsid w:val="00B32835"/>
    <w:rPr>
      <w:sz w:val="20"/>
      <w:szCs w:val="20"/>
    </w:rPr>
  </w:style>
  <w:style w:type="paragraph" w:styleId="Bunntekst">
    <w:name w:val="footer"/>
    <w:basedOn w:val="Normal"/>
    <w:link w:val="BunntekstTegn"/>
    <w:uiPriority w:val="99"/>
    <w:unhideWhenUsed/>
    <w:rsid w:val="009E7F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7F30"/>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9948">
      <w:bodyDiv w:val="1"/>
      <w:marLeft w:val="0"/>
      <w:marRight w:val="0"/>
      <w:marTop w:val="0"/>
      <w:marBottom w:val="0"/>
      <w:divBdr>
        <w:top w:val="none" w:sz="0" w:space="0" w:color="auto"/>
        <w:left w:val="none" w:sz="0" w:space="0" w:color="auto"/>
        <w:bottom w:val="none" w:sz="0" w:space="0" w:color="auto"/>
        <w:right w:val="none" w:sz="0" w:space="0" w:color="auto"/>
      </w:divBdr>
    </w:div>
    <w:div w:id="11643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067782CD32942B79F45D4B849A0C6" ma:contentTypeVersion="11" ma:contentTypeDescription="Create a new document." ma:contentTypeScope="" ma:versionID="772bf004b5cb638a64310826260f1322">
  <xsd:schema xmlns:xsd="http://www.w3.org/2001/XMLSchema" xmlns:xs="http://www.w3.org/2001/XMLSchema" xmlns:p="http://schemas.microsoft.com/office/2006/metadata/properties" xmlns:ns2="d8dfbfb2-58a5-4ef2-bbdb-508ea896db20" xmlns:ns3="dc78d8b4-9c3c-4957-a6f0-d74c18156240" targetNamespace="http://schemas.microsoft.com/office/2006/metadata/properties" ma:root="true" ma:fieldsID="692e3f0cb2fe3d1b044ad78605f8a953" ns2:_="" ns3:_="">
    <xsd:import namespace="d8dfbfb2-58a5-4ef2-bbdb-508ea896db20"/>
    <xsd:import namespace="dc78d8b4-9c3c-4957-a6f0-d74c18156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bfb2-58a5-4ef2-bbdb-508ea896d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8d8b4-9c3c-4957-a6f0-d74c18156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D5949-900C-48AD-8DBA-4EC7EEFFC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8608F-1B60-420F-B1BE-806BB4DEA1E4}">
  <ds:schemaRefs>
    <ds:schemaRef ds:uri="http://schemas.microsoft.com/sharepoint/v3/contenttype/forms"/>
  </ds:schemaRefs>
</ds:datastoreItem>
</file>

<file path=customXml/itemProps3.xml><?xml version="1.0" encoding="utf-8"?>
<ds:datastoreItem xmlns:ds="http://schemas.openxmlformats.org/officeDocument/2006/customXml" ds:itemID="{8505C657-8B88-46B8-8312-55634839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bfb2-58a5-4ef2-bbdb-508ea896db20"/>
    <ds:schemaRef ds:uri="dc78d8b4-9c3c-4957-a6f0-d74c1815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2518</Characters>
  <Application>Microsoft Office Word</Application>
  <DocSecurity>0</DocSecurity>
  <Lines>20</Lines>
  <Paragraphs>5</Paragraphs>
  <ScaleCrop>false</ScaleCrop>
  <Company>Utdanningsdirektoratet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Aanderaa Clausen</dc:creator>
  <cp:keywords/>
  <dc:description/>
  <cp:lastModifiedBy>Torill Sommerlund</cp:lastModifiedBy>
  <cp:revision>10</cp:revision>
  <dcterms:created xsi:type="dcterms:W3CDTF">2024-11-05T13:27:00Z</dcterms:created>
  <dcterms:modified xsi:type="dcterms:W3CDTF">2024-11-05T13:32:00Z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0x010100799067782CD32942B79F45D4B849A0C6</vt:lpwstr>
  </property>
</Properties>
</file>